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D0" w:rsidRDefault="00027DD0" w:rsidP="00027DD0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027DD0" w:rsidRPr="00027DD0" w:rsidRDefault="00027DD0" w:rsidP="00027DD0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ходу реализации </w:t>
      </w:r>
      <w:r w:rsidRPr="00027DD0">
        <w:rPr>
          <w:rFonts w:ascii="Times New Roman" w:hAnsi="Times New Roman" w:cs="Times New Roman"/>
          <w:b/>
          <w:sz w:val="26"/>
          <w:szCs w:val="26"/>
        </w:rPr>
        <w:t>текстильного проекта</w:t>
      </w:r>
    </w:p>
    <w:p w:rsidR="00027DD0" w:rsidRDefault="00027DD0" w:rsidP="00027DD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27DD0" w:rsidRDefault="00027DD0" w:rsidP="00027DD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7DD0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027DD0">
        <w:rPr>
          <w:rFonts w:ascii="Times New Roman" w:hAnsi="Times New Roman" w:cs="Times New Roman"/>
          <w:sz w:val="26"/>
          <w:szCs w:val="26"/>
        </w:rPr>
        <w:t>Бухоро</w:t>
      </w:r>
      <w:proofErr w:type="spellEnd"/>
      <w:r w:rsidRPr="00027D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7DD0">
        <w:rPr>
          <w:rFonts w:ascii="Times New Roman" w:hAnsi="Times New Roman" w:cs="Times New Roman"/>
          <w:sz w:val="26"/>
          <w:szCs w:val="26"/>
        </w:rPr>
        <w:t>Агрокластер</w:t>
      </w:r>
      <w:proofErr w:type="spellEnd"/>
      <w:r w:rsidRPr="00027DD0">
        <w:rPr>
          <w:rFonts w:ascii="Times New Roman" w:hAnsi="Times New Roman" w:cs="Times New Roman"/>
          <w:sz w:val="26"/>
          <w:szCs w:val="26"/>
        </w:rPr>
        <w:t xml:space="preserve">» в рамках исполнения постановления Кабинета Министров Республики Узбекистан от 14 июня 2019 года №500 «О мерах по </w:t>
      </w:r>
      <w:r>
        <w:rPr>
          <w:rFonts w:ascii="Times New Roman" w:hAnsi="Times New Roman" w:cs="Times New Roman"/>
          <w:sz w:val="26"/>
          <w:szCs w:val="26"/>
        </w:rPr>
        <w:t>созданию</w:t>
      </w:r>
      <w:r w:rsidRPr="00027DD0">
        <w:rPr>
          <w:rFonts w:ascii="Times New Roman" w:hAnsi="Times New Roman" w:cs="Times New Roman"/>
          <w:sz w:val="26"/>
          <w:szCs w:val="26"/>
        </w:rPr>
        <w:t xml:space="preserve"> современного </w:t>
      </w:r>
      <w:proofErr w:type="spellStart"/>
      <w:r w:rsidRPr="00027DD0">
        <w:rPr>
          <w:rFonts w:ascii="Times New Roman" w:hAnsi="Times New Roman" w:cs="Times New Roman"/>
          <w:sz w:val="26"/>
          <w:szCs w:val="26"/>
        </w:rPr>
        <w:t>агрокластера</w:t>
      </w:r>
      <w:proofErr w:type="spellEnd"/>
      <w:r w:rsidRPr="00027DD0">
        <w:rPr>
          <w:rFonts w:ascii="Times New Roman" w:hAnsi="Times New Roman" w:cs="Times New Roman"/>
          <w:sz w:val="26"/>
          <w:szCs w:val="26"/>
        </w:rPr>
        <w:t xml:space="preserve"> в Бухарской области»</w:t>
      </w:r>
      <w:r w:rsidR="00C616AA">
        <w:rPr>
          <w:rFonts w:ascii="Times New Roman" w:hAnsi="Times New Roman" w:cs="Times New Roman"/>
          <w:sz w:val="26"/>
          <w:szCs w:val="26"/>
        </w:rPr>
        <w:t xml:space="preserve"> осуществляет работы по организации деятельности текстильного комплекса.</w:t>
      </w:r>
      <w:r w:rsidR="00F064A7">
        <w:rPr>
          <w:rFonts w:ascii="Times New Roman" w:hAnsi="Times New Roman" w:cs="Times New Roman"/>
          <w:sz w:val="26"/>
          <w:szCs w:val="26"/>
        </w:rPr>
        <w:t xml:space="preserve"> Для разработки и реализации проекта текстильного комплекса привлечена международная консультационная компания «</w:t>
      </w:r>
      <w:proofErr w:type="spellStart"/>
      <w:r w:rsidR="00F064A7" w:rsidRPr="00027DD0">
        <w:rPr>
          <w:rFonts w:ascii="Times New Roman" w:hAnsi="Times New Roman" w:cs="Times New Roman"/>
          <w:sz w:val="26"/>
          <w:szCs w:val="26"/>
        </w:rPr>
        <w:t>Джерзи</w:t>
      </w:r>
      <w:proofErr w:type="spellEnd"/>
      <w:r w:rsidR="00F064A7" w:rsidRPr="00027DD0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="00F064A7" w:rsidRPr="00027DD0">
        <w:rPr>
          <w:rFonts w:ascii="Times New Roman" w:hAnsi="Times New Roman" w:cs="Times New Roman"/>
          <w:sz w:val="26"/>
          <w:szCs w:val="26"/>
          <w:lang w:val="en-US"/>
        </w:rPr>
        <w:t>Gherzi</w:t>
      </w:r>
      <w:proofErr w:type="spellEnd"/>
      <w:r w:rsidR="00F064A7" w:rsidRPr="00027DD0">
        <w:rPr>
          <w:rFonts w:ascii="Times New Roman" w:hAnsi="Times New Roman" w:cs="Times New Roman"/>
          <w:sz w:val="26"/>
          <w:szCs w:val="26"/>
        </w:rPr>
        <w:t>)</w:t>
      </w:r>
      <w:r w:rsidR="00F064A7">
        <w:rPr>
          <w:rFonts w:ascii="Times New Roman" w:hAnsi="Times New Roman" w:cs="Times New Roman"/>
          <w:sz w:val="26"/>
          <w:szCs w:val="26"/>
        </w:rPr>
        <w:t xml:space="preserve"> (Швейцария).</w:t>
      </w:r>
    </w:p>
    <w:p w:rsidR="00F064A7" w:rsidRP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F064A7">
        <w:rPr>
          <w:rFonts w:ascii="Times New Roman" w:hAnsi="Times New Roman" w:cs="Times New Roman"/>
          <w:b/>
          <w:sz w:val="26"/>
          <w:szCs w:val="26"/>
        </w:rPr>
        <w:t>Справочно.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4A7">
        <w:rPr>
          <w:rFonts w:ascii="Times New Roman" w:hAnsi="Times New Roman" w:cs="Times New Roman"/>
          <w:i/>
        </w:rPr>
        <w:t>Компания «</w:t>
      </w:r>
      <w:proofErr w:type="spellStart"/>
      <w:r w:rsidRPr="00F064A7">
        <w:rPr>
          <w:rFonts w:ascii="Times New Roman" w:hAnsi="Times New Roman" w:cs="Times New Roman"/>
          <w:i/>
        </w:rPr>
        <w:t>Джерзи</w:t>
      </w:r>
      <w:proofErr w:type="spellEnd"/>
      <w:r w:rsidRPr="00F064A7">
        <w:rPr>
          <w:rFonts w:ascii="Times New Roman" w:hAnsi="Times New Roman" w:cs="Times New Roman"/>
          <w:i/>
        </w:rPr>
        <w:t>» (</w:t>
      </w:r>
      <w:proofErr w:type="spellStart"/>
      <w:r w:rsidRPr="00F064A7">
        <w:rPr>
          <w:rFonts w:ascii="Times New Roman" w:hAnsi="Times New Roman" w:cs="Times New Roman"/>
          <w:i/>
          <w:lang w:val="en-US"/>
        </w:rPr>
        <w:t>Gherzi</w:t>
      </w:r>
      <w:proofErr w:type="spellEnd"/>
      <w:r w:rsidRPr="00F064A7">
        <w:rPr>
          <w:rFonts w:ascii="Times New Roman" w:hAnsi="Times New Roman" w:cs="Times New Roman"/>
          <w:i/>
        </w:rPr>
        <w:t>) - консультационная компания, основанная в 1929 году в Швейцарии. Компания имеет огромный опыт в планировании и реализации интегрированных текстильных проектов по всему миру. Клиентами компании «</w:t>
      </w:r>
      <w:proofErr w:type="spellStart"/>
      <w:r w:rsidRPr="00F064A7">
        <w:rPr>
          <w:rFonts w:ascii="Times New Roman" w:hAnsi="Times New Roman" w:cs="Times New Roman"/>
          <w:i/>
        </w:rPr>
        <w:t>Джерзи</w:t>
      </w:r>
      <w:proofErr w:type="spellEnd"/>
      <w:r w:rsidRPr="00F064A7">
        <w:rPr>
          <w:rFonts w:ascii="Times New Roman" w:hAnsi="Times New Roman" w:cs="Times New Roman"/>
          <w:i/>
        </w:rPr>
        <w:t>» являются мировые и региональные институты, частные компании. За прошедший период времени компания реализовала более 10 тысяч проектов в 80 странах мира. При реализации проектов компания «</w:t>
      </w:r>
      <w:proofErr w:type="spellStart"/>
      <w:r w:rsidRPr="00F064A7">
        <w:rPr>
          <w:rFonts w:ascii="Times New Roman" w:hAnsi="Times New Roman" w:cs="Times New Roman"/>
          <w:i/>
        </w:rPr>
        <w:t>Джерзи</w:t>
      </w:r>
      <w:proofErr w:type="spellEnd"/>
      <w:r w:rsidRPr="00F064A7">
        <w:rPr>
          <w:rFonts w:ascii="Times New Roman" w:hAnsi="Times New Roman" w:cs="Times New Roman"/>
          <w:i/>
        </w:rPr>
        <w:t>» оказывает содействие в определении целей, планировании, реализации вертикально интегрированных проектов. Для проекта «Амир текстиль» компания подготавливает отчеты по маркетингу и стратегии развития предприятия, расчеты ТЭО, подбирает технологическое, инженерное оборудование, формирует отчеты по ценовой экспертизе закупаемых материалов, подготавливает конструкторскую документацию и строительные чертежи.</w:t>
      </w:r>
    </w:p>
    <w:p w:rsidR="00F064A7" w:rsidRP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i/>
        </w:rPr>
      </w:pPr>
      <w:r w:rsidRPr="00F064A7">
        <w:rPr>
          <w:rFonts w:ascii="Times New Roman" w:hAnsi="Times New Roman" w:cs="Times New Roman"/>
          <w:i/>
        </w:rPr>
        <w:t>Общая стоимость контракта с компанией «</w:t>
      </w:r>
      <w:proofErr w:type="spellStart"/>
      <w:r w:rsidRPr="00F064A7">
        <w:rPr>
          <w:rFonts w:ascii="Times New Roman" w:hAnsi="Times New Roman" w:cs="Times New Roman"/>
          <w:i/>
        </w:rPr>
        <w:t>Джерзи</w:t>
      </w:r>
      <w:proofErr w:type="spellEnd"/>
      <w:r w:rsidRPr="00F064A7">
        <w:rPr>
          <w:rFonts w:ascii="Times New Roman" w:hAnsi="Times New Roman" w:cs="Times New Roman"/>
          <w:i/>
        </w:rPr>
        <w:t>» по реализации полного цикла вертикально интегрированного проекта «Амир текстиль» составляет 270 тыс. евро (прядение, трикотаж, ткачество, крашение, швейное производство). Стоимость услуг по реализации первого этапа (прядение) составляет 170 тыс. евро.</w:t>
      </w:r>
    </w:p>
    <w:p w:rsidR="00C616AA" w:rsidRDefault="00C616AA" w:rsidP="003B7026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027DD0">
        <w:rPr>
          <w:rFonts w:ascii="Times New Roman" w:eastAsia="MS PGothic" w:hAnsi="Times New Roman" w:cs="Times New Roman"/>
          <w:b/>
          <w:bCs/>
          <w:color w:val="000000" w:themeColor="text1"/>
          <w:kern w:val="24"/>
          <w:sz w:val="26"/>
          <w:szCs w:val="26"/>
        </w:rPr>
        <w:t>Технология и производственный процесс</w:t>
      </w:r>
      <w:r>
        <w:rPr>
          <w:rFonts w:ascii="Times New Roman" w:eastAsia="MS PGothic" w:hAnsi="Times New Roman" w:cs="Times New Roman"/>
          <w:b/>
          <w:bCs/>
          <w:color w:val="000000" w:themeColor="text1"/>
          <w:kern w:val="24"/>
          <w:sz w:val="26"/>
          <w:szCs w:val="26"/>
        </w:rPr>
        <w:t xml:space="preserve">. 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Прядильная фабрика</w:t>
      </w:r>
      <w:r w:rsidR="00681F57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 организуемая на первом этапе,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будет оснащена самой передовой, с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овременн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ой и полностью автоматизированной 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технологи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ей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для производства хлопчатобумажной пряжи высочайшего качества по конкурентоспособной цене. Фабрика и оборудование, использующие компактное </w:t>
      </w:r>
      <w:proofErr w:type="spellStart"/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кольцепрядение</w:t>
      </w:r>
      <w:proofErr w:type="spellEnd"/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и роторное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(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пневмо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) 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прядение, будут закупаться у известных международных производителей оборудования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(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Трючлер</w:t>
      </w:r>
      <w:proofErr w:type="spellEnd"/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Ритер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, Тойота, Мурата,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Заурер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Электроджет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Нойнхаузер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,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Устер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), 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котор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ое позволит </w:t>
      </w:r>
      <w:r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производить широкий </w:t>
      </w:r>
      <w:r w:rsidRPr="003B7026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ассортимент пряжи</w:t>
      </w:r>
      <w:r w:rsidR="003B7026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(армированная, сиро, слаб и т.д.)</w:t>
      </w:r>
      <w:r w:rsidRPr="003B7026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. </w:t>
      </w:r>
    </w:p>
    <w:p w:rsidR="00681F57" w:rsidRPr="003B7026" w:rsidRDefault="00681F57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За счет реализации проекта и производства продукции с высокой добавленной стоимостью индекс стоимости увеличится в 8 раз.</w:t>
      </w:r>
    </w:p>
    <w:p w:rsidR="00F064A7" w:rsidRDefault="00C616AA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026">
        <w:rPr>
          <w:rFonts w:ascii="Times New Roman" w:hAnsi="Times New Roman" w:cs="Times New Roman"/>
          <w:b/>
          <w:bCs/>
          <w:sz w:val="26"/>
          <w:szCs w:val="26"/>
        </w:rPr>
        <w:t>Производственная мощность</w:t>
      </w:r>
      <w:r w:rsidR="00FC78CC">
        <w:rPr>
          <w:rFonts w:ascii="Times New Roman" w:hAnsi="Times New Roman" w:cs="Times New Roman"/>
          <w:b/>
          <w:bCs/>
          <w:sz w:val="26"/>
          <w:szCs w:val="26"/>
        </w:rPr>
        <w:t xml:space="preserve"> (Прядение)</w:t>
      </w:r>
      <w:r w:rsidRPr="003B702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3B7026">
        <w:rPr>
          <w:rFonts w:ascii="Times New Roman" w:hAnsi="Times New Roman" w:cs="Times New Roman"/>
          <w:sz w:val="26"/>
          <w:szCs w:val="26"/>
        </w:rPr>
        <w:t xml:space="preserve">Установленная мощность предлагаемого проекта </w:t>
      </w:r>
      <w:r w:rsidR="00681F57">
        <w:rPr>
          <w:rFonts w:ascii="Times New Roman" w:hAnsi="Times New Roman" w:cs="Times New Roman"/>
          <w:sz w:val="26"/>
          <w:szCs w:val="26"/>
        </w:rPr>
        <w:t xml:space="preserve">прядильной фабрики </w:t>
      </w:r>
      <w:r w:rsidRPr="003B7026">
        <w:rPr>
          <w:rFonts w:ascii="Times New Roman" w:hAnsi="Times New Roman" w:cs="Times New Roman"/>
          <w:sz w:val="26"/>
          <w:szCs w:val="26"/>
        </w:rPr>
        <w:t>составит 72 960 веретен (</w:t>
      </w:r>
      <w:proofErr w:type="spellStart"/>
      <w:r w:rsidRPr="003B7026">
        <w:rPr>
          <w:rFonts w:ascii="Times New Roman" w:hAnsi="Times New Roman" w:cs="Times New Roman"/>
          <w:sz w:val="26"/>
          <w:szCs w:val="26"/>
        </w:rPr>
        <w:t>кольцепрядение</w:t>
      </w:r>
      <w:proofErr w:type="spellEnd"/>
      <w:r w:rsidRPr="003B7026">
        <w:rPr>
          <w:rFonts w:ascii="Times New Roman" w:hAnsi="Times New Roman" w:cs="Times New Roman"/>
          <w:sz w:val="26"/>
          <w:szCs w:val="26"/>
        </w:rPr>
        <w:t>)</w:t>
      </w:r>
      <w:r w:rsidR="00FC78CC">
        <w:rPr>
          <w:rFonts w:ascii="Times New Roman" w:hAnsi="Times New Roman" w:cs="Times New Roman"/>
          <w:sz w:val="26"/>
          <w:szCs w:val="26"/>
          <w:lang w:val="ba-RU"/>
        </w:rPr>
        <w:t>,</w:t>
      </w:r>
      <w:r w:rsidRPr="003B7026">
        <w:rPr>
          <w:rFonts w:ascii="Times New Roman" w:hAnsi="Times New Roman" w:cs="Times New Roman"/>
          <w:sz w:val="26"/>
          <w:szCs w:val="26"/>
        </w:rPr>
        <w:t xml:space="preserve"> 2880 роторов (</w:t>
      </w:r>
      <w:proofErr w:type="spellStart"/>
      <w:r w:rsidRPr="003B7026">
        <w:rPr>
          <w:rFonts w:ascii="Times New Roman" w:hAnsi="Times New Roman" w:cs="Times New Roman"/>
          <w:sz w:val="26"/>
          <w:szCs w:val="26"/>
        </w:rPr>
        <w:t>пневмопрядение</w:t>
      </w:r>
      <w:proofErr w:type="spellEnd"/>
      <w:r w:rsidR="00FC78CC">
        <w:rPr>
          <w:rFonts w:ascii="Times New Roman" w:hAnsi="Times New Roman" w:cs="Times New Roman"/>
          <w:sz w:val="26"/>
          <w:szCs w:val="26"/>
        </w:rPr>
        <w:t>, 1</w:t>
      </w:r>
      <w:r w:rsidR="00FC78CC">
        <w:rPr>
          <w:rFonts w:ascii="Times New Roman" w:hAnsi="Times New Roman" w:cs="Times New Roman"/>
          <w:sz w:val="26"/>
          <w:szCs w:val="26"/>
          <w:lang w:val="ba-RU"/>
        </w:rPr>
        <w:t xml:space="preserve"> этап</w:t>
      </w:r>
      <w:r w:rsidRPr="003B7026">
        <w:rPr>
          <w:rFonts w:ascii="Times New Roman" w:hAnsi="Times New Roman" w:cs="Times New Roman"/>
          <w:sz w:val="26"/>
          <w:szCs w:val="26"/>
        </w:rPr>
        <w:t>)</w:t>
      </w:r>
      <w:r w:rsidR="00FC78CC">
        <w:rPr>
          <w:rFonts w:ascii="Times New Roman" w:hAnsi="Times New Roman" w:cs="Times New Roman"/>
          <w:sz w:val="26"/>
          <w:szCs w:val="26"/>
        </w:rPr>
        <w:t xml:space="preserve"> + 2880 роторов (</w:t>
      </w:r>
      <w:proofErr w:type="spellStart"/>
      <w:r w:rsidR="00FC78CC">
        <w:rPr>
          <w:rFonts w:ascii="Times New Roman" w:hAnsi="Times New Roman" w:cs="Times New Roman"/>
          <w:sz w:val="26"/>
          <w:szCs w:val="26"/>
        </w:rPr>
        <w:t>пневмопрядение</w:t>
      </w:r>
      <w:proofErr w:type="spellEnd"/>
      <w:r w:rsidR="00FC78CC">
        <w:rPr>
          <w:rFonts w:ascii="Times New Roman" w:hAnsi="Times New Roman" w:cs="Times New Roman"/>
          <w:sz w:val="26"/>
          <w:szCs w:val="26"/>
        </w:rPr>
        <w:t>, 2 этап)</w:t>
      </w:r>
      <w:r w:rsidRPr="003B7026">
        <w:rPr>
          <w:rFonts w:ascii="Times New Roman" w:hAnsi="Times New Roman" w:cs="Times New Roman"/>
          <w:sz w:val="26"/>
          <w:szCs w:val="26"/>
        </w:rPr>
        <w:t xml:space="preserve">. Исходя из плана прядения </w:t>
      </w:r>
      <w:r w:rsidR="00FC78CC">
        <w:rPr>
          <w:rFonts w:ascii="Times New Roman" w:hAnsi="Times New Roman" w:cs="Times New Roman"/>
          <w:sz w:val="26"/>
          <w:szCs w:val="26"/>
        </w:rPr>
        <w:t>на первом этапе</w:t>
      </w:r>
      <w:r w:rsidRPr="003B7026">
        <w:rPr>
          <w:rFonts w:ascii="Times New Roman" w:hAnsi="Times New Roman" w:cs="Times New Roman"/>
          <w:sz w:val="26"/>
          <w:szCs w:val="26"/>
        </w:rPr>
        <w:t>, суточный объем производства пряжи составит 7</w:t>
      </w:r>
      <w:r w:rsidR="00FC78CC">
        <w:rPr>
          <w:rFonts w:ascii="Times New Roman" w:hAnsi="Times New Roman" w:cs="Times New Roman"/>
          <w:sz w:val="26"/>
          <w:szCs w:val="26"/>
        </w:rPr>
        <w:t>7</w:t>
      </w:r>
      <w:r w:rsidRPr="003B7026">
        <w:rPr>
          <w:rFonts w:ascii="Times New Roman" w:hAnsi="Times New Roman" w:cs="Times New Roman"/>
          <w:sz w:val="26"/>
          <w:szCs w:val="26"/>
        </w:rPr>
        <w:t xml:space="preserve"> тонны</w:t>
      </w:r>
      <w:r w:rsidR="00681F57">
        <w:rPr>
          <w:rFonts w:ascii="Times New Roman" w:hAnsi="Times New Roman" w:cs="Times New Roman"/>
          <w:sz w:val="26"/>
          <w:szCs w:val="26"/>
        </w:rPr>
        <w:t xml:space="preserve"> в день, годовой объем - 26180 тонн в год</w:t>
      </w:r>
      <w:r w:rsidRPr="003B7026">
        <w:rPr>
          <w:rFonts w:ascii="Times New Roman" w:hAnsi="Times New Roman" w:cs="Times New Roman"/>
          <w:sz w:val="26"/>
          <w:szCs w:val="26"/>
        </w:rPr>
        <w:t xml:space="preserve">. </w:t>
      </w:r>
      <w:r w:rsidR="00F20DB6" w:rsidRPr="003B7026">
        <w:rPr>
          <w:rFonts w:ascii="Times New Roman" w:hAnsi="Times New Roman" w:cs="Times New Roman"/>
          <w:sz w:val="26"/>
          <w:szCs w:val="26"/>
        </w:rPr>
        <w:t>7</w:t>
      </w:r>
      <w:r w:rsidR="003B7026">
        <w:rPr>
          <w:rFonts w:ascii="Times New Roman" w:hAnsi="Times New Roman" w:cs="Times New Roman"/>
          <w:sz w:val="26"/>
          <w:szCs w:val="26"/>
        </w:rPr>
        <w:t>4</w:t>
      </w:r>
      <w:r w:rsidR="00F20DB6" w:rsidRPr="003B7026">
        <w:rPr>
          <w:rFonts w:ascii="Times New Roman" w:hAnsi="Times New Roman" w:cs="Times New Roman"/>
          <w:sz w:val="26"/>
          <w:szCs w:val="26"/>
        </w:rPr>
        <w:t xml:space="preserve">% </w:t>
      </w:r>
      <w:r w:rsidR="003B7026">
        <w:rPr>
          <w:rFonts w:ascii="Times New Roman" w:hAnsi="Times New Roman" w:cs="Times New Roman"/>
          <w:sz w:val="26"/>
          <w:szCs w:val="26"/>
        </w:rPr>
        <w:t xml:space="preserve">(57 тонн/день) </w:t>
      </w:r>
      <w:r w:rsidR="00F20DB6" w:rsidRPr="003B7026">
        <w:rPr>
          <w:rFonts w:ascii="Times New Roman" w:hAnsi="Times New Roman" w:cs="Times New Roman"/>
          <w:sz w:val="26"/>
          <w:szCs w:val="26"/>
        </w:rPr>
        <w:t>приходится на кольцевую пряжу (25-30 номера) и 2</w:t>
      </w:r>
      <w:r w:rsidR="003B7026">
        <w:rPr>
          <w:rFonts w:ascii="Times New Roman" w:hAnsi="Times New Roman" w:cs="Times New Roman"/>
          <w:sz w:val="26"/>
          <w:szCs w:val="26"/>
        </w:rPr>
        <w:t>6</w:t>
      </w:r>
      <w:r w:rsidR="00F20DB6" w:rsidRPr="003B7026">
        <w:rPr>
          <w:rFonts w:ascii="Times New Roman" w:hAnsi="Times New Roman" w:cs="Times New Roman"/>
          <w:sz w:val="26"/>
          <w:szCs w:val="26"/>
        </w:rPr>
        <w:t xml:space="preserve"> % </w:t>
      </w:r>
      <w:r w:rsidR="003B7026">
        <w:rPr>
          <w:rFonts w:ascii="Times New Roman" w:hAnsi="Times New Roman" w:cs="Times New Roman"/>
          <w:sz w:val="26"/>
          <w:szCs w:val="26"/>
        </w:rPr>
        <w:t xml:space="preserve">(20 тонн/день) </w:t>
      </w:r>
      <w:r w:rsidR="00F20DB6" w:rsidRPr="003B7026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F20DB6" w:rsidRPr="003B7026">
        <w:rPr>
          <w:rFonts w:ascii="Times New Roman" w:hAnsi="Times New Roman" w:cs="Times New Roman"/>
          <w:sz w:val="26"/>
          <w:szCs w:val="26"/>
        </w:rPr>
        <w:t>пневмопряжу</w:t>
      </w:r>
      <w:proofErr w:type="spellEnd"/>
      <w:r w:rsidR="00F20DB6" w:rsidRPr="003B7026">
        <w:rPr>
          <w:rFonts w:ascii="Times New Roman" w:hAnsi="Times New Roman" w:cs="Times New Roman"/>
          <w:sz w:val="26"/>
          <w:szCs w:val="26"/>
        </w:rPr>
        <w:t xml:space="preserve"> (20 номер). </w:t>
      </w:r>
      <w:r w:rsidRPr="003B7026">
        <w:rPr>
          <w:rFonts w:ascii="Times New Roman" w:hAnsi="Times New Roman" w:cs="Times New Roman"/>
          <w:sz w:val="26"/>
          <w:szCs w:val="26"/>
        </w:rPr>
        <w:t xml:space="preserve">Загрузка мощностей будет постепенно увеличиваться с 75 % в первый год до 90 % во второй год и, наконец, 99 % к третьему году. Установка будет спроектирована таким образом, чтобы в будущем увеличить мощность. </w:t>
      </w:r>
      <w:r w:rsidR="00681F57">
        <w:rPr>
          <w:rFonts w:ascii="Times New Roman" w:hAnsi="Times New Roman" w:cs="Times New Roman"/>
          <w:sz w:val="26"/>
          <w:szCs w:val="26"/>
        </w:rPr>
        <w:t>Фа</w:t>
      </w:r>
      <w:r w:rsidR="00FC78CC">
        <w:rPr>
          <w:rFonts w:ascii="Times New Roman" w:hAnsi="Times New Roman" w:cs="Times New Roman"/>
          <w:sz w:val="26"/>
          <w:szCs w:val="26"/>
        </w:rPr>
        <w:t>б</w:t>
      </w:r>
      <w:r w:rsidR="00681F57">
        <w:rPr>
          <w:rFonts w:ascii="Times New Roman" w:hAnsi="Times New Roman" w:cs="Times New Roman"/>
          <w:sz w:val="26"/>
          <w:szCs w:val="26"/>
        </w:rPr>
        <w:t>рика</w:t>
      </w:r>
      <w:r w:rsidRPr="003B7026">
        <w:rPr>
          <w:rFonts w:ascii="Times New Roman" w:hAnsi="Times New Roman" w:cs="Times New Roman"/>
          <w:sz w:val="26"/>
          <w:szCs w:val="26"/>
        </w:rPr>
        <w:t xml:space="preserve"> будет работать 340 дней в году в три смены (3x8 часов).</w:t>
      </w:r>
    </w:p>
    <w:p w:rsidR="00FC78CC" w:rsidRPr="003B7026" w:rsidRDefault="00FC78CC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втором этапе увеличатся мощности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пневмопрядения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 20 до 40 тонн в сутки. Годовой объем производства пряжи  порядка 32 640 тонн. </w:t>
      </w:r>
    </w:p>
    <w:p w:rsidR="00681F57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Производственная мощность (2 этап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трикотаж</w:t>
      </w: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).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На втором этапе планируется организация производства трикотажного полотна. Для этого будет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lastRenderedPageBreak/>
        <w:t>установлено 44 кругловязальных машин «Майер» (Германия), 4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8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плосковязальных машин «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Штоль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» (Германия) и 40 носочно-чулочных автоматов «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Лонати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» (Италия).</w:t>
      </w:r>
    </w:p>
    <w:p w:rsidR="00681F57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Объем производства кругловязальных машин 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(Этап 2.1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– 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23,2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тонн в день (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7 890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тонны в год).</w:t>
      </w:r>
    </w:p>
    <w:p w:rsidR="00681F57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proofErr w:type="gram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Объем производства 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плосковязальных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машин – 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0,6 тонн в день (205,53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тонн в год (</w:t>
      </w:r>
      <w:r w:rsidR="00FC78CC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около 400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тыс. изделий).</w:t>
      </w:r>
      <w:proofErr w:type="gramEnd"/>
    </w:p>
    <w:p w:rsidR="00681F57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Объем производства чулочных машин – 2 млн. пар в год.</w:t>
      </w:r>
    </w:p>
    <w:p w:rsidR="00FC78CC" w:rsidRDefault="00FC78CC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В последующем планируется в два раза увеличить объемы производства кругловязального </w:t>
      </w:r>
      <w:r w:rsidR="00F94964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трикотажного полотна до 46,4 тонн в день Этап 2.2. (15 780,3 тонн в год).</w:t>
      </w:r>
    </w:p>
    <w:p w:rsidR="00F94964" w:rsidRDefault="00F94964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Принимая во внимание, что плосковязальные машины до 80 % будут требовать в качестве сырья пряжу из синтетических волокон, не производимых прядильной фабрикой, расширение плосковязального производства пока не планируется.</w:t>
      </w:r>
    </w:p>
    <w:p w:rsidR="00F94964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Производственная мощность (3 этап 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крашение</w:t>
      </w: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).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</w:p>
    <w:p w:rsidR="00681F57" w:rsidRDefault="00F94964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F94964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Крашение пряжи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.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Мощность крашения пряжи проектируется на этапе 3.1 на уровне 18,3 тонн пряжи в день (6,2 тыс. тонн пряжи в год). Затем вторым этапом будет расширение в 2 раза до 30,4 тонн в день (10324,4 тонн пряжи в год).</w:t>
      </w:r>
    </w:p>
    <w:p w:rsidR="00F94964" w:rsidRDefault="00F94964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250D8E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Крашение</w:t>
      </w:r>
      <w:r w:rsidR="00250D8E" w:rsidRPr="00250D8E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/</w:t>
      </w:r>
      <w:r w:rsidR="00250D8E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отделка</w:t>
      </w:r>
      <w:r w:rsidRPr="00250D8E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полотна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.</w:t>
      </w:r>
      <w:r w:rsidRPr="00F94964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Мощность крашения</w:t>
      </w:r>
      <w:r w:rsidR="00250D8E" w:rsidRP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/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отделки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полотна (трикотажное и ткацкое)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проектируется на этапе 3.1 на уровне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23,7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тонн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полотна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в день (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8068,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тыс. тонн полотна, трикотажного,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в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год). Затем вторым этапом будет расширение в 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3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раза до 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64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 тонн в день (21828,0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тонн 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полотна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в год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 трикотаж оба этапа + ткачество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).</w:t>
      </w:r>
    </w:p>
    <w:p w:rsidR="00681F57" w:rsidRPr="00027DD0" w:rsidRDefault="00681F57" w:rsidP="00681F5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Производственная мощность (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4</w:t>
      </w: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этап швейное производство).</w:t>
      </w:r>
      <w:r w:rsidR="00F94964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Мощность 6,9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млн. швейных изделий в год (1,678 тонн).</w:t>
      </w:r>
    </w:p>
    <w:p w:rsidR="00681F57" w:rsidRDefault="00681F57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Производственная мощность (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5</w:t>
      </w: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этап 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ткацкое </w:t>
      </w:r>
      <w:r w:rsidRPr="00EF65C5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производство).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На </w:t>
      </w:r>
      <w:r w:rsidR="00F94964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следующем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этапе планируется организация ткацкого производства. Для этого будет установлено </w:t>
      </w:r>
      <w:r w:rsidR="00F94964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200-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210 ткацких машин «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Пиканоль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».</w:t>
      </w:r>
    </w:p>
    <w:p w:rsidR="00681F57" w:rsidRDefault="00F94964" w:rsidP="00681F57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На ткацкое производство будет направляться ежесуточно 17,7 тонн пряжи (годовой объем потребления 6008,5 тонн). </w:t>
      </w:r>
      <w:r w:rsidR="00681F57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Объем производства ткацких машин – 16 млн. погонных метров в год.</w:t>
      </w:r>
    </w:p>
    <w:p w:rsidR="003B7026" w:rsidRDefault="003B7026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026">
        <w:rPr>
          <w:rFonts w:ascii="Times New Roman" w:hAnsi="Times New Roman" w:cs="Times New Roman"/>
          <w:b/>
          <w:sz w:val="26"/>
          <w:szCs w:val="26"/>
        </w:rPr>
        <w:t>Стоимость проекта.</w:t>
      </w:r>
      <w:r w:rsidRPr="003B70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3B7026">
        <w:rPr>
          <w:rFonts w:ascii="Times New Roman" w:hAnsi="Times New Roman" w:cs="Times New Roman"/>
          <w:sz w:val="26"/>
          <w:szCs w:val="26"/>
        </w:rPr>
        <w:t>тоимость</w:t>
      </w:r>
      <w:r>
        <w:rPr>
          <w:rFonts w:ascii="Times New Roman" w:hAnsi="Times New Roman" w:cs="Times New Roman"/>
          <w:sz w:val="26"/>
          <w:szCs w:val="26"/>
        </w:rPr>
        <w:t xml:space="preserve"> первого этапа проекта (прядильной фабрики)</w:t>
      </w:r>
      <w:r w:rsidRPr="003B70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Pr="003B7026">
        <w:rPr>
          <w:rFonts w:ascii="Times New Roman" w:hAnsi="Times New Roman" w:cs="Times New Roman"/>
          <w:b/>
          <w:sz w:val="26"/>
          <w:szCs w:val="26"/>
        </w:rPr>
        <w:t>83,82 млн. евро</w:t>
      </w:r>
      <w:r>
        <w:rPr>
          <w:rFonts w:ascii="Times New Roman" w:hAnsi="Times New Roman" w:cs="Times New Roman"/>
          <w:sz w:val="26"/>
          <w:szCs w:val="26"/>
        </w:rPr>
        <w:t xml:space="preserve">. При этом заемные средства составляют 58,6 </w:t>
      </w:r>
      <w:proofErr w:type="spellStart"/>
      <w:r>
        <w:rPr>
          <w:rFonts w:ascii="Times New Roman" w:hAnsi="Times New Roman" w:cs="Times New Roman"/>
          <w:sz w:val="26"/>
          <w:szCs w:val="26"/>
        </w:rPr>
        <w:t>млн</w:t>
      </w:r>
      <w:proofErr w:type="gramStart"/>
      <w:r>
        <w:rPr>
          <w:rFonts w:ascii="Times New Roman" w:hAnsi="Times New Roman" w:cs="Times New Roman"/>
          <w:sz w:val="26"/>
          <w:szCs w:val="26"/>
        </w:rPr>
        <w:t>.е</w:t>
      </w:r>
      <w:proofErr w:type="gramEnd"/>
      <w:r>
        <w:rPr>
          <w:rFonts w:ascii="Times New Roman" w:hAnsi="Times New Roman" w:cs="Times New Roman"/>
          <w:sz w:val="26"/>
          <w:szCs w:val="26"/>
        </w:rPr>
        <w:t>вро</w:t>
      </w:r>
      <w:proofErr w:type="spellEnd"/>
      <w:r>
        <w:rPr>
          <w:rFonts w:ascii="Times New Roman" w:hAnsi="Times New Roman" w:cs="Times New Roman"/>
          <w:sz w:val="26"/>
          <w:szCs w:val="26"/>
        </w:rPr>
        <w:t>. В</w:t>
      </w:r>
      <w:r w:rsidRPr="003B7026">
        <w:rPr>
          <w:rFonts w:ascii="Times New Roman" w:hAnsi="Times New Roman" w:cs="Times New Roman"/>
          <w:sz w:val="26"/>
          <w:szCs w:val="26"/>
        </w:rPr>
        <w:t>ыручк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B7026">
        <w:rPr>
          <w:rFonts w:ascii="Times New Roman" w:hAnsi="Times New Roman" w:cs="Times New Roman"/>
          <w:sz w:val="26"/>
          <w:szCs w:val="26"/>
        </w:rPr>
        <w:t xml:space="preserve"> от реализации </w:t>
      </w:r>
      <w:r>
        <w:rPr>
          <w:rFonts w:ascii="Times New Roman" w:hAnsi="Times New Roman" w:cs="Times New Roman"/>
          <w:sz w:val="26"/>
          <w:szCs w:val="26"/>
        </w:rPr>
        <w:t>составит</w:t>
      </w:r>
      <w:r w:rsidRPr="003B7026">
        <w:rPr>
          <w:rFonts w:ascii="Times New Roman" w:hAnsi="Times New Roman" w:cs="Times New Roman"/>
          <w:sz w:val="26"/>
          <w:szCs w:val="26"/>
        </w:rPr>
        <w:t xml:space="preserve"> 56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B7026">
        <w:rPr>
          <w:rFonts w:ascii="Times New Roman" w:hAnsi="Times New Roman" w:cs="Times New Roman"/>
          <w:sz w:val="26"/>
          <w:szCs w:val="26"/>
        </w:rPr>
        <w:t>60 млн. евро с 28,34% EBITDA (валовая операционная прибыль) в 3-м году, при условии загруженности фабрики 99%.</w:t>
      </w:r>
    </w:p>
    <w:p w:rsidR="00681F57" w:rsidRPr="003B7026" w:rsidRDefault="00681F57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Общая стоимость проекта </w:t>
      </w:r>
      <w:r w:rsidR="00250D8E">
        <w:rPr>
          <w:rFonts w:ascii="Times New Roman" w:hAnsi="Times New Roman" w:cs="Times New Roman"/>
          <w:sz w:val="26"/>
          <w:szCs w:val="26"/>
        </w:rPr>
        <w:t xml:space="preserve">всего текстильного комплекса </w:t>
      </w:r>
      <w:r w:rsidR="00CA7AFB">
        <w:rPr>
          <w:rFonts w:ascii="Times New Roman" w:hAnsi="Times New Roman" w:cs="Times New Roman"/>
          <w:sz w:val="26"/>
          <w:szCs w:val="26"/>
        </w:rPr>
        <w:t xml:space="preserve">ориентировочно составит </w:t>
      </w:r>
      <w:r w:rsidRPr="00CA7AFB">
        <w:rPr>
          <w:rFonts w:ascii="Times New Roman" w:hAnsi="Times New Roman" w:cs="Times New Roman"/>
          <w:b/>
          <w:sz w:val="26"/>
          <w:szCs w:val="26"/>
        </w:rPr>
        <w:t xml:space="preserve">– </w:t>
      </w:r>
      <w:r w:rsidR="00CA7AFB" w:rsidRPr="00CA7AFB">
        <w:rPr>
          <w:rFonts w:ascii="Times New Roman" w:hAnsi="Times New Roman" w:cs="Times New Roman"/>
          <w:b/>
          <w:sz w:val="26"/>
          <w:szCs w:val="26"/>
        </w:rPr>
        <w:t>1</w:t>
      </w:r>
      <w:r w:rsidRPr="00CA7AFB">
        <w:rPr>
          <w:rFonts w:ascii="Times New Roman" w:hAnsi="Times New Roman" w:cs="Times New Roman"/>
          <w:b/>
          <w:sz w:val="26"/>
          <w:szCs w:val="26"/>
        </w:rPr>
        <w:t>50 млн. евро.</w:t>
      </w:r>
    </w:p>
    <w:p w:rsidR="00F064A7" w:rsidRPr="003B7026" w:rsidRDefault="00F064A7" w:rsidP="003B7026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7026">
        <w:rPr>
          <w:rFonts w:ascii="Times New Roman" w:hAnsi="Times New Roman" w:cs="Times New Roman"/>
          <w:b/>
          <w:sz w:val="26"/>
          <w:szCs w:val="26"/>
        </w:rPr>
        <w:t xml:space="preserve">Экономическая жизнеспособность. </w:t>
      </w:r>
      <w:r w:rsidRPr="003B7026">
        <w:rPr>
          <w:rFonts w:ascii="Times New Roman" w:hAnsi="Times New Roman" w:cs="Times New Roman"/>
          <w:sz w:val="26"/>
          <w:szCs w:val="26"/>
        </w:rPr>
        <w:t>Было подготовлено комплексное технико-экономическое обоснование</w:t>
      </w:r>
      <w:r w:rsidR="00CA7AFB">
        <w:rPr>
          <w:rFonts w:ascii="Times New Roman" w:hAnsi="Times New Roman" w:cs="Times New Roman"/>
          <w:sz w:val="26"/>
          <w:szCs w:val="26"/>
        </w:rPr>
        <w:t xml:space="preserve"> по первому этапу</w:t>
      </w:r>
      <w:r w:rsidRPr="003B7026">
        <w:rPr>
          <w:rFonts w:ascii="Times New Roman" w:hAnsi="Times New Roman" w:cs="Times New Roman"/>
          <w:sz w:val="26"/>
          <w:szCs w:val="26"/>
        </w:rPr>
        <w:t>, начатое с базового сценария с последующим анализом чувствительности, специфичной для проекта и рынка, на основании которого проект является финансово жизнеспособным. При базовом сценарии Валовая операционная прибыль к продажам составляет 28,34% (в третьем году), а средний показатель DSCR (Коэффициент покрытия обслуживания долга)  - 1,95.</w:t>
      </w:r>
    </w:p>
    <w:p w:rsid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64A7">
        <w:rPr>
          <w:rFonts w:ascii="Times New Roman" w:hAnsi="Times New Roman" w:cs="Times New Roman"/>
          <w:sz w:val="26"/>
          <w:szCs w:val="26"/>
        </w:rPr>
        <w:t xml:space="preserve">В связи с большими капитальными вложениями в современные заводы и машины, срок окупаемости инвестиций составляет </w:t>
      </w:r>
      <w:r w:rsidRPr="003B7026">
        <w:rPr>
          <w:rFonts w:ascii="Times New Roman" w:hAnsi="Times New Roman" w:cs="Times New Roman"/>
          <w:b/>
          <w:sz w:val="26"/>
          <w:szCs w:val="26"/>
        </w:rPr>
        <w:t>7 лет и 2 месяца</w:t>
      </w:r>
      <w:r w:rsidRPr="00F064A7">
        <w:rPr>
          <w:rFonts w:ascii="Times New Roman" w:hAnsi="Times New Roman" w:cs="Times New Roman"/>
          <w:sz w:val="26"/>
          <w:szCs w:val="26"/>
        </w:rPr>
        <w:t xml:space="preserve"> (базовый сценарий). </w:t>
      </w:r>
    </w:p>
    <w:p w:rsidR="00F064A7" w:rsidRP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64A7">
        <w:rPr>
          <w:rFonts w:ascii="Times New Roman" w:hAnsi="Times New Roman" w:cs="Times New Roman"/>
          <w:b/>
          <w:sz w:val="26"/>
          <w:szCs w:val="26"/>
        </w:rPr>
        <w:lastRenderedPageBreak/>
        <w:t>Воздействие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064A7">
        <w:rPr>
          <w:rFonts w:ascii="Times New Roman" w:hAnsi="Times New Roman" w:cs="Times New Roman"/>
          <w:sz w:val="26"/>
          <w:szCs w:val="26"/>
        </w:rPr>
        <w:t>Производственный процесс был разработан с учетом высочайшего уровня экологической устойчивости с точки зрения энергоэффективности.</w:t>
      </w:r>
    </w:p>
    <w:p w:rsidR="00F064A7" w:rsidRP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64A7">
        <w:rPr>
          <w:rFonts w:ascii="Times New Roman" w:hAnsi="Times New Roman" w:cs="Times New Roman"/>
          <w:sz w:val="26"/>
          <w:szCs w:val="26"/>
        </w:rPr>
        <w:t xml:space="preserve">Отходы, образующиеся в процессе </w:t>
      </w:r>
      <w:proofErr w:type="spellStart"/>
      <w:r w:rsidRPr="00F064A7">
        <w:rPr>
          <w:rFonts w:ascii="Times New Roman" w:hAnsi="Times New Roman" w:cs="Times New Roman"/>
          <w:sz w:val="26"/>
          <w:szCs w:val="26"/>
        </w:rPr>
        <w:t>кольцепрядения</w:t>
      </w:r>
      <w:proofErr w:type="spellEnd"/>
      <w:r w:rsidRPr="00F064A7">
        <w:rPr>
          <w:rFonts w:ascii="Times New Roman" w:hAnsi="Times New Roman" w:cs="Times New Roman"/>
          <w:sz w:val="26"/>
          <w:szCs w:val="26"/>
        </w:rPr>
        <w:t xml:space="preserve">, будут полностью переработаны в процессе пневмомеханического прядения. </w:t>
      </w:r>
    </w:p>
    <w:p w:rsid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64A7">
        <w:rPr>
          <w:rFonts w:ascii="Times New Roman" w:hAnsi="Times New Roman" w:cs="Times New Roman"/>
          <w:b/>
          <w:sz w:val="26"/>
          <w:szCs w:val="26"/>
        </w:rPr>
        <w:t>Человеческие ресурсы.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4A7">
        <w:rPr>
          <w:rFonts w:ascii="Times New Roman" w:hAnsi="Times New Roman" w:cs="Times New Roman"/>
          <w:sz w:val="26"/>
          <w:szCs w:val="26"/>
        </w:rPr>
        <w:t xml:space="preserve">Прядильная фабрика </w:t>
      </w:r>
      <w:r>
        <w:rPr>
          <w:rFonts w:ascii="Times New Roman" w:hAnsi="Times New Roman" w:cs="Times New Roman"/>
          <w:sz w:val="26"/>
          <w:szCs w:val="26"/>
        </w:rPr>
        <w:t>на первом этапе предусматривает обеспечение работой 5</w:t>
      </w:r>
      <w:r w:rsidRPr="00F064A7">
        <w:rPr>
          <w:rFonts w:ascii="Times New Roman" w:hAnsi="Times New Roman" w:cs="Times New Roman"/>
          <w:sz w:val="26"/>
          <w:szCs w:val="26"/>
        </w:rPr>
        <w:t>00 человек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1F57" w:rsidRDefault="00681F5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Трудоустройство по реализации всего проекта – 7000 человек.</w:t>
      </w:r>
    </w:p>
    <w:p w:rsidR="00F064A7" w:rsidRPr="00F064A7" w:rsidRDefault="00F064A7" w:rsidP="00F064A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п</w:t>
      </w:r>
      <w:r w:rsidRPr="00F064A7">
        <w:rPr>
          <w:rFonts w:ascii="Times New Roman" w:hAnsi="Times New Roman" w:cs="Times New Roman"/>
          <w:sz w:val="26"/>
          <w:szCs w:val="26"/>
        </w:rPr>
        <w:t>рядильн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F064A7">
        <w:rPr>
          <w:rFonts w:ascii="Times New Roman" w:hAnsi="Times New Roman" w:cs="Times New Roman"/>
          <w:sz w:val="26"/>
          <w:szCs w:val="26"/>
        </w:rPr>
        <w:t xml:space="preserve"> фабрик</w:t>
      </w:r>
      <w:r>
        <w:rPr>
          <w:rFonts w:ascii="Times New Roman" w:hAnsi="Times New Roman" w:cs="Times New Roman"/>
          <w:sz w:val="26"/>
          <w:szCs w:val="26"/>
        </w:rPr>
        <w:t xml:space="preserve">е будет организовано постоянное обучение персонала </w:t>
      </w:r>
      <w:r w:rsidRPr="00F064A7">
        <w:rPr>
          <w:rFonts w:ascii="Times New Roman" w:hAnsi="Times New Roman" w:cs="Times New Roman"/>
          <w:sz w:val="26"/>
          <w:szCs w:val="26"/>
        </w:rPr>
        <w:t>передово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F064A7">
        <w:rPr>
          <w:rFonts w:ascii="Times New Roman" w:hAnsi="Times New Roman" w:cs="Times New Roman"/>
          <w:sz w:val="26"/>
          <w:szCs w:val="26"/>
        </w:rPr>
        <w:t xml:space="preserve"> международно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F064A7">
        <w:rPr>
          <w:rFonts w:ascii="Times New Roman" w:hAnsi="Times New Roman" w:cs="Times New Roman"/>
          <w:sz w:val="26"/>
          <w:szCs w:val="26"/>
        </w:rPr>
        <w:t xml:space="preserve"> опыт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064A7">
        <w:rPr>
          <w:rFonts w:ascii="Times New Roman" w:hAnsi="Times New Roman" w:cs="Times New Roman"/>
          <w:sz w:val="26"/>
          <w:szCs w:val="26"/>
        </w:rPr>
        <w:t xml:space="preserve"> производства. Будут задействованы услуги инженеров и международных консультантов для проведения обучения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064A7">
        <w:rPr>
          <w:rFonts w:ascii="Times New Roman" w:hAnsi="Times New Roman" w:cs="Times New Roman"/>
          <w:sz w:val="26"/>
          <w:szCs w:val="26"/>
        </w:rPr>
        <w:t>ерсонала для эффективного выполнения им своих функций.</w:t>
      </w:r>
      <w:r>
        <w:rPr>
          <w:rFonts w:ascii="Times New Roman" w:hAnsi="Times New Roman" w:cs="Times New Roman"/>
          <w:sz w:val="26"/>
          <w:szCs w:val="26"/>
        </w:rPr>
        <w:t xml:space="preserve"> При комплексе будет организован </w:t>
      </w:r>
      <w:r w:rsidRPr="00F064A7">
        <w:rPr>
          <w:rFonts w:ascii="Times New Roman" w:hAnsi="Times New Roman" w:cs="Times New Roman"/>
          <w:sz w:val="26"/>
          <w:szCs w:val="26"/>
        </w:rPr>
        <w:t xml:space="preserve"> учебны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F064A7">
        <w:rPr>
          <w:rFonts w:ascii="Times New Roman" w:hAnsi="Times New Roman" w:cs="Times New Roman"/>
          <w:sz w:val="26"/>
          <w:szCs w:val="26"/>
        </w:rPr>
        <w:t xml:space="preserve"> центр для непрерывного развития человеческих ресурсов.</w:t>
      </w:r>
    </w:p>
    <w:p w:rsidR="00027DD0" w:rsidRPr="00027DD0" w:rsidRDefault="00C616AA" w:rsidP="00027DD0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16AA">
        <w:rPr>
          <w:rFonts w:ascii="Times New Roman" w:hAnsi="Times New Roman" w:cs="Times New Roman"/>
          <w:b/>
          <w:sz w:val="26"/>
          <w:szCs w:val="26"/>
        </w:rPr>
        <w:t>Земля.</w:t>
      </w:r>
      <w:r>
        <w:rPr>
          <w:rFonts w:ascii="Times New Roman" w:hAnsi="Times New Roman" w:cs="Times New Roman"/>
          <w:sz w:val="26"/>
          <w:szCs w:val="26"/>
        </w:rPr>
        <w:t xml:space="preserve"> Для реализации проекта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Вобкентском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Бухарской области выделено 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58 га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земли 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(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10 га под строительство, 48 га земли сельскохозяйственного назначения, необходим перевод в землю под строительство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)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. 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Общая площадь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зданий и сооружений составит около 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55'000 м2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(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производственны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е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 непроизводственны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е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здани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я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и инженерны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е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коммуникаци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и). </w:t>
      </w:r>
    </w:p>
    <w:p w:rsidR="00250D8E" w:rsidRDefault="00C616AA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C616AA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Электричество.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Для функционирования прядильной фабрики</w:t>
      </w:r>
      <w:r w:rsidR="00CA7AFB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на первом этапе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п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отребность в электроэнергии оценивается в 12,5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-13,5</w:t>
      </w:r>
      <w:r w:rsidR="00027DD0" w:rsidRPr="00027DD0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МВт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.</w:t>
      </w:r>
      <w:r w:rsidR="00250D8E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Для всего текстильного комплекса потребуется порядка 35 МВт.</w:t>
      </w:r>
    </w:p>
    <w:p w:rsidR="00027DD0" w:rsidRDefault="00250D8E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Принимая во внимание, что возможности области по предоставлению таких больших мощностей ограничены, то предлагается часть мощностей генерировать на самом комплексе с применением парогазовых генераторов. Себестоимость производства электроэнергии с использованием генераторов составляет 60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сум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за кВт, что в 4 раза дешевле кВт потребляемого из централизованной энергосети. Затраты на 1 парогазовый генератор мощностью 4,5 МВт составляют около 1,6 млн. евро. </w:t>
      </w:r>
      <w:r w:rsidR="00C616AA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</w:t>
      </w: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Окупаемость генератора 2,5 года.</w:t>
      </w:r>
    </w:p>
    <w:p w:rsidR="00250D8E" w:rsidRDefault="00250D8E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 w:rsidRPr="00250D8E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Проектирование и ст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роительство. </w:t>
      </w:r>
      <w:r w:rsidR="00B52D7F" w:rsidRP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В настоящее время подготовлен для утверждения руководством Бухарской области генеральный план текстильного комплекса и планы размещения технологического оборудования прядильной фабрики.</w:t>
      </w:r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До конца декабря 2020 года должны быть завершены работы со стороны компании </w:t>
      </w:r>
      <w:proofErr w:type="spellStart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Джерзи</w:t>
      </w:r>
      <w:proofErr w:type="spellEnd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 по разработке конструкторской и проектной документации по строительной части, </w:t>
      </w:r>
      <w:proofErr w:type="spellStart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энерг</w:t>
      </w:r>
      <w:proofErr w:type="gramStart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о</w:t>
      </w:r>
      <w:proofErr w:type="spellEnd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-</w:t>
      </w:r>
      <w:proofErr w:type="gramEnd"/>
      <w:r w:rsidR="00B52D7F"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 водо-, газо- обеспечения.</w:t>
      </w:r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Территория будущего текстильного комплекса обнесена забором.</w:t>
      </w:r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 xml:space="preserve">Ведется сбор технических условий на подключение к </w:t>
      </w:r>
      <w:proofErr w:type="spellStart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энерго</w:t>
      </w:r>
      <w:proofErr w:type="spellEnd"/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, водо-, газоснабжению, готовится экологическое заключение по воздействию на окружающую среду, АПЗ.</w:t>
      </w:r>
    </w:p>
    <w:p w:rsidR="00B52D7F" w:rsidRP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  <w:t>Параллельно приступили к проектированию административного здания, пожарной станции, других объектов и благоустройству.</w:t>
      </w:r>
    </w:p>
    <w:p w:rsidR="003B7026" w:rsidRDefault="003B7026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Pr="00D942D9" w:rsidRDefault="00D942D9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</w:pPr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Генеральный директор</w:t>
      </w:r>
    </w:p>
    <w:p w:rsidR="00D942D9" w:rsidRPr="00D942D9" w:rsidRDefault="00D942D9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</w:pPr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ООО «</w:t>
      </w:r>
      <w:proofErr w:type="spellStart"/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Бухоро</w:t>
      </w:r>
      <w:proofErr w:type="spellEnd"/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Агрокластер</w:t>
      </w:r>
      <w:proofErr w:type="spellEnd"/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» 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                                          </w:t>
      </w:r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А.А</w:t>
      </w: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.</w:t>
      </w:r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 xml:space="preserve"> </w:t>
      </w:r>
      <w:proofErr w:type="spellStart"/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Султонов</w:t>
      </w:r>
      <w:proofErr w:type="spellEnd"/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  <w:bookmarkStart w:id="0" w:name="_GoBack"/>
      <w:bookmarkEnd w:id="0"/>
    </w:p>
    <w:p w:rsidR="00D942D9" w:rsidRDefault="00D942D9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Pr="00B52D7F" w:rsidRDefault="00D942D9" w:rsidP="00B52D7F">
      <w:pPr>
        <w:pStyle w:val="a3"/>
        <w:ind w:firstLine="567"/>
        <w:jc w:val="right"/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</w:pPr>
      <w:r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lastRenderedPageBreak/>
        <w:t>Приложение</w:t>
      </w:r>
    </w:p>
    <w:p w:rsidR="00B52D7F" w:rsidRDefault="00B52D7F" w:rsidP="00B52D7F">
      <w:pPr>
        <w:pStyle w:val="a3"/>
        <w:ind w:firstLine="567"/>
        <w:jc w:val="center"/>
        <w:rPr>
          <w:rFonts w:ascii="Times New Roman" w:eastAsia="MS PGothic" w:hAnsi="Times New Roman" w:cs="Times New Roman"/>
          <w:color w:val="000000" w:themeColor="text1"/>
          <w:kern w:val="24"/>
          <w:sz w:val="26"/>
          <w:szCs w:val="26"/>
        </w:rPr>
      </w:pPr>
    </w:p>
    <w:p w:rsidR="00B52D7F" w:rsidRPr="00D942D9" w:rsidRDefault="00B52D7F" w:rsidP="00B52D7F">
      <w:pPr>
        <w:pStyle w:val="a3"/>
        <w:ind w:firstLine="567"/>
        <w:jc w:val="center"/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</w:pPr>
      <w:r w:rsidRPr="00D942D9"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  <w:t>Информация по этапам реализации проекта</w:t>
      </w:r>
    </w:p>
    <w:p w:rsidR="00B52D7F" w:rsidRPr="00D942D9" w:rsidRDefault="00B52D7F" w:rsidP="00027DD0">
      <w:pPr>
        <w:pStyle w:val="a3"/>
        <w:ind w:firstLine="567"/>
        <w:jc w:val="both"/>
        <w:rPr>
          <w:rFonts w:ascii="Times New Roman" w:eastAsia="MS PGothic" w:hAnsi="Times New Roman" w:cs="Times New Roman"/>
          <w:b/>
          <w:color w:val="000000" w:themeColor="text1"/>
          <w:kern w:val="24"/>
          <w:sz w:val="26"/>
          <w:szCs w:val="26"/>
        </w:rPr>
      </w:pPr>
    </w:p>
    <w:p w:rsidR="00EF65C5" w:rsidRPr="00D942D9" w:rsidRDefault="00EF65C5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35"/>
        <w:gridCol w:w="1418"/>
        <w:gridCol w:w="1539"/>
        <w:gridCol w:w="1771"/>
        <w:gridCol w:w="1808"/>
      </w:tblGrid>
      <w:tr w:rsidR="00D942D9" w:rsidRPr="00D942D9" w:rsidTr="00D942D9">
        <w:trPr>
          <w:trHeight w:val="335"/>
        </w:trPr>
        <w:tc>
          <w:tcPr>
            <w:tcW w:w="3085" w:type="dxa"/>
            <w:vMerge w:val="restart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</w:t>
            </w:r>
          </w:p>
        </w:tc>
        <w:tc>
          <w:tcPr>
            <w:tcW w:w="4678" w:type="dxa"/>
            <w:gridSpan w:val="3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</w:t>
            </w:r>
          </w:p>
        </w:tc>
        <w:tc>
          <w:tcPr>
            <w:tcW w:w="1808" w:type="dxa"/>
            <w:vMerge w:val="restart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Необходимая площадь, м</w:t>
            </w:r>
            <w:proofErr w:type="gramStart"/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D942D9" w:rsidRPr="00D942D9" w:rsidTr="00D942D9">
        <w:trPr>
          <w:trHeight w:val="343"/>
        </w:trPr>
        <w:tc>
          <w:tcPr>
            <w:tcW w:w="3085" w:type="dxa"/>
            <w:vMerge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тонн</w:t>
            </w:r>
            <w:r w:rsidRPr="00D942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559" w:type="dxa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тонн</w:t>
            </w:r>
            <w:r w:rsidRPr="00D942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701" w:type="dxa"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808" w:type="dxa"/>
            <w:vMerge/>
            <w:hideMark/>
          </w:tcPr>
          <w:p w:rsidR="00D942D9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Кольцепрядение</w:t>
            </w:r>
            <w:proofErr w:type="spellEnd"/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19 040,0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72,960 веретен</w:t>
            </w: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36 500</w:t>
            </w: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Пневмопрядение</w:t>
            </w:r>
            <w:proofErr w:type="spellEnd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6 800,0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2,880 роторов</w:t>
            </w:r>
          </w:p>
        </w:tc>
        <w:tc>
          <w:tcPr>
            <w:tcW w:w="1808" w:type="dxa"/>
            <w:vMerge w:val="restart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16 500</w:t>
            </w:r>
          </w:p>
        </w:tc>
      </w:tr>
      <w:tr w:rsidR="00B52D7F" w:rsidRPr="00B52D7F" w:rsidTr="00D942D9">
        <w:trPr>
          <w:trHeight w:val="34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Пневмопрядение</w:t>
            </w:r>
            <w:proofErr w:type="spellEnd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, 2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6 800,0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2,880 роторов</w:t>
            </w:r>
          </w:p>
        </w:tc>
        <w:tc>
          <w:tcPr>
            <w:tcW w:w="1808" w:type="dxa"/>
            <w:vMerge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пряжа,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25 840,0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4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пряжа, 1+2 этап</w:t>
            </w:r>
          </w:p>
        </w:tc>
        <w:tc>
          <w:tcPr>
            <w:tcW w:w="1418" w:type="dxa"/>
            <w:noWrap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32 640,0</w:t>
            </w:r>
          </w:p>
        </w:tc>
        <w:tc>
          <w:tcPr>
            <w:tcW w:w="1701" w:type="dxa"/>
            <w:noWrap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noWrap/>
            <w:hideMark/>
          </w:tcPr>
          <w:p w:rsidR="00B52D7F" w:rsidRPr="00D942D9" w:rsidRDefault="00D942D9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53 000</w:t>
            </w: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Крашение пряжи,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6 236,3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30 000</w:t>
            </w:r>
          </w:p>
        </w:tc>
      </w:tr>
      <w:tr w:rsidR="00B52D7F" w:rsidRPr="00B52D7F" w:rsidTr="00D942D9">
        <w:trPr>
          <w:trHeight w:val="34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Крашение пряжи, 1+2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10 324,4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4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Ткачество, 3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6 008,5</w:t>
            </w:r>
          </w:p>
        </w:tc>
        <w:tc>
          <w:tcPr>
            <w:tcW w:w="1701" w:type="dxa"/>
            <w:hideMark/>
          </w:tcPr>
          <w:p w:rsidR="00B52D7F" w:rsidRPr="00B52D7F" w:rsidRDefault="00B52D7F" w:rsidP="00D9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200 станков</w:t>
            </w: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24 000</w:t>
            </w:r>
          </w:p>
        </w:tc>
      </w:tr>
      <w:tr w:rsidR="00B52D7F" w:rsidRPr="00B52D7F" w:rsidTr="00D942D9">
        <w:trPr>
          <w:trHeight w:val="45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Кругловязание</w:t>
            </w:r>
            <w:proofErr w:type="spellEnd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7 890,1</w:t>
            </w:r>
          </w:p>
        </w:tc>
        <w:tc>
          <w:tcPr>
            <w:tcW w:w="1701" w:type="dxa"/>
            <w:hideMark/>
          </w:tcPr>
          <w:p w:rsidR="00B52D7F" w:rsidRPr="00B52D7F" w:rsidRDefault="00B52D7F" w:rsidP="00D9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44 машин</w:t>
            </w:r>
          </w:p>
        </w:tc>
        <w:tc>
          <w:tcPr>
            <w:tcW w:w="1808" w:type="dxa"/>
            <w:vMerge w:val="restart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</w:tr>
      <w:tr w:rsidR="00B52D7F" w:rsidRPr="00B52D7F" w:rsidTr="00D942D9">
        <w:trPr>
          <w:trHeight w:val="45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Кругловязание</w:t>
            </w:r>
            <w:proofErr w:type="spellEnd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, 1+2 этап</w:t>
            </w:r>
          </w:p>
        </w:tc>
        <w:tc>
          <w:tcPr>
            <w:tcW w:w="1418" w:type="dxa"/>
            <w:noWrap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15 780,3</w:t>
            </w:r>
          </w:p>
        </w:tc>
        <w:tc>
          <w:tcPr>
            <w:tcW w:w="1701" w:type="dxa"/>
            <w:noWrap/>
            <w:hideMark/>
          </w:tcPr>
          <w:p w:rsidR="00B52D7F" w:rsidRPr="00B52D7F" w:rsidRDefault="00B52D7F" w:rsidP="00D9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88 машин</w:t>
            </w:r>
          </w:p>
        </w:tc>
        <w:tc>
          <w:tcPr>
            <w:tcW w:w="1808" w:type="dxa"/>
            <w:vMerge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415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Плосковязание</w:t>
            </w:r>
            <w:proofErr w:type="spellEnd"/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205,63</w:t>
            </w:r>
          </w:p>
        </w:tc>
        <w:tc>
          <w:tcPr>
            <w:tcW w:w="1701" w:type="dxa"/>
            <w:hideMark/>
          </w:tcPr>
          <w:p w:rsidR="00B52D7F" w:rsidRPr="00B52D7F" w:rsidRDefault="00B52D7F" w:rsidP="00D942D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48 машин</w:t>
            </w:r>
          </w:p>
        </w:tc>
        <w:tc>
          <w:tcPr>
            <w:tcW w:w="1808" w:type="dxa"/>
            <w:vMerge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продукция,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34 239,2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4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продукция, 1+2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40 209,0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66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Отделка трикотаж и ткачество, 1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8 068,2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 w:val="restart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15 000</w:t>
            </w:r>
          </w:p>
        </w:tc>
      </w:tr>
      <w:tr w:rsidR="00B52D7F" w:rsidRPr="00B52D7F" w:rsidTr="00D942D9">
        <w:trPr>
          <w:trHeight w:val="66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Отделка трикотаж и ткачество, 1+2 этап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21 828,0</w:t>
            </w:r>
          </w:p>
        </w:tc>
        <w:tc>
          <w:tcPr>
            <w:tcW w:w="1701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2D7F" w:rsidRPr="00B52D7F" w:rsidTr="00D942D9">
        <w:trPr>
          <w:trHeight w:val="330"/>
        </w:trPr>
        <w:tc>
          <w:tcPr>
            <w:tcW w:w="3085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Швейное производство</w:t>
            </w:r>
          </w:p>
        </w:tc>
        <w:tc>
          <w:tcPr>
            <w:tcW w:w="141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20 343,5</w:t>
            </w:r>
          </w:p>
        </w:tc>
        <w:tc>
          <w:tcPr>
            <w:tcW w:w="1559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sz w:val="24"/>
                <w:szCs w:val="24"/>
              </w:rPr>
              <w:t>6 916 787</w:t>
            </w:r>
          </w:p>
        </w:tc>
        <w:tc>
          <w:tcPr>
            <w:tcW w:w="1701" w:type="dxa"/>
            <w:noWrap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52D7F" w:rsidRPr="00B52D7F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12 000</w:t>
            </w:r>
          </w:p>
        </w:tc>
      </w:tr>
      <w:tr w:rsidR="00B52D7F" w:rsidRPr="00D942D9" w:rsidTr="00D942D9">
        <w:trPr>
          <w:trHeight w:val="330"/>
        </w:trPr>
        <w:tc>
          <w:tcPr>
            <w:tcW w:w="3085" w:type="dxa"/>
            <w:hideMark/>
          </w:tcPr>
          <w:p w:rsidR="00B52D7F" w:rsidRPr="00D942D9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hideMark/>
          </w:tcPr>
          <w:p w:rsidR="00B52D7F" w:rsidRPr="00D942D9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B52D7F" w:rsidRPr="00D942D9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52D7F" w:rsidRPr="00D942D9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hideMark/>
          </w:tcPr>
          <w:p w:rsidR="00B52D7F" w:rsidRPr="00D942D9" w:rsidRDefault="00B52D7F" w:rsidP="00B52D7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2D9">
              <w:rPr>
                <w:rFonts w:ascii="Times New Roman" w:hAnsi="Times New Roman" w:cs="Times New Roman"/>
                <w:b/>
                <w:sz w:val="24"/>
                <w:szCs w:val="24"/>
              </w:rPr>
              <w:t>144 000</w:t>
            </w:r>
          </w:p>
        </w:tc>
      </w:tr>
    </w:tbl>
    <w:p w:rsidR="00B52D7F" w:rsidRDefault="00B52D7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2D7F" w:rsidRDefault="00B52D7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52D7F" w:rsidRPr="00027DD0" w:rsidRDefault="00B52D7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2D7F" w:rsidRPr="0002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D58"/>
    <w:multiLevelType w:val="hybridMultilevel"/>
    <w:tmpl w:val="57723C50"/>
    <w:lvl w:ilvl="0" w:tplc="2E5009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B8C8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8FC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48047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2E99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4E2D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4C3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011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3EFF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10E6F"/>
    <w:multiLevelType w:val="hybridMultilevel"/>
    <w:tmpl w:val="C3A292C2"/>
    <w:lvl w:ilvl="0" w:tplc="C172E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05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89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28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E4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E24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705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466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A0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89614E"/>
    <w:multiLevelType w:val="hybridMultilevel"/>
    <w:tmpl w:val="71844928"/>
    <w:lvl w:ilvl="0" w:tplc="E6F4AD7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807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8B8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8CB3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04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2B7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E2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24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783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05A7F"/>
    <w:multiLevelType w:val="hybridMultilevel"/>
    <w:tmpl w:val="179288AC"/>
    <w:lvl w:ilvl="0" w:tplc="A748F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0E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EB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87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C1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8C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2E3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4A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D0"/>
    <w:rsid w:val="00027DD0"/>
    <w:rsid w:val="000E271E"/>
    <w:rsid w:val="00250D8E"/>
    <w:rsid w:val="003B7026"/>
    <w:rsid w:val="00681F57"/>
    <w:rsid w:val="00814FFD"/>
    <w:rsid w:val="00945552"/>
    <w:rsid w:val="00987F22"/>
    <w:rsid w:val="00A932E6"/>
    <w:rsid w:val="00B52D7F"/>
    <w:rsid w:val="00C616AA"/>
    <w:rsid w:val="00CA7AFB"/>
    <w:rsid w:val="00D942D9"/>
    <w:rsid w:val="00DB30A0"/>
    <w:rsid w:val="00EF65C5"/>
    <w:rsid w:val="00F064A7"/>
    <w:rsid w:val="00F20DB6"/>
    <w:rsid w:val="00F94964"/>
    <w:rsid w:val="00FC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DD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4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5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DD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27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4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52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23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00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316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9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1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0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 Гуляев</dc:creator>
  <cp:lastModifiedBy>Ринат Гуляев</cp:lastModifiedBy>
  <cp:revision>2</cp:revision>
  <cp:lastPrinted>2020-09-15T05:27:00Z</cp:lastPrinted>
  <dcterms:created xsi:type="dcterms:W3CDTF">2020-10-30T11:28:00Z</dcterms:created>
  <dcterms:modified xsi:type="dcterms:W3CDTF">2020-10-30T11:28:00Z</dcterms:modified>
</cp:coreProperties>
</file>